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26-136</w:t>
      </w:r>
    </w:p>
    <w:p>
      <w:pPr>
        <w:spacing w:before="0" w:after="0" w:line="480"/>
        <w:ind w:left="120"/>
        <w:jc w:val="left"/>
      </w:pPr>
    </w:p>
    <w:p>
      <w:pPr>
        <w:spacing w:before="0" w:after="0" w:line="480"/>
        <w:ind w:left="120"/>
        <w:jc w:val="center"/>
      </w:pPr>
      <w:r>
        <w:rPr>
          <w:rFonts w:ascii="Times New Roman" w:hAnsi="Times New Roman"/>
          <w:b/>
          <w:i w:val="false"/>
          <w:color w:val="000000"/>
          <w:sz w:val="28"/>
        </w:rPr>
        <w:t>AGRICULTURE AND LAND STEWARDSHIP DEPARTMENT[21]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21—Chapter 60</w:t>
      </w:r>
    </w:p>
    <w:p>
      <w:pPr>
        <w:spacing w:before="0" w:after="0" w:line="480"/>
        <w:ind w:left="120"/>
        <w:jc w:val="center"/>
      </w:pPr>
      <w:r>
        <w:rPr>
          <w:rFonts w:ascii="Times New Roman" w:hAnsi="Times New Roman"/>
          <w:b w:val="false"/>
          <w:i w:val="false"/>
          <w:color w:val="000000"/>
          <w:sz w:val="24"/>
        </w:rPr>
        <w:t>“Hatcheries and Chick Dealers”</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163.2A</w:t>
      </w:r>
    </w:p>
    <w:p>
      <w:pPr>
        <w:spacing w:before="0" w:after="0" w:line="480"/>
        <w:ind w:left="120"/>
        <w:jc w:val="both"/>
      </w:pPr>
      <w:r>
        <w:rPr>
          <w:rFonts w:ascii="Times New Roman" w:hAnsi="Times New Roman"/>
          <w:b w:val="false"/>
          <w:i w:val="false"/>
          <w:color w:val="000000"/>
          <w:sz w:val="24"/>
        </w:rPr>
        <w:t>State or federal law(s) implemented by the rulemaking: Iowa Code chapters 159, 163, 168 and 197 and 9 CFR Part 145</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49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July 29, 2026</w:t>
            </w:r>
            <w:r>
              <w:br/>
            </w:r>
            <w:r>
              <w:rPr>
                <w:rFonts w:ascii="Times New Roman" w:hAnsi="Times New Roman"/>
                <w:b w:val="false"/>
                <w:i w:val="false"/>
                <w:color w:val="000000"/>
                <w:sz w:val="14"/>
              </w:rPr>
              <w:t>10 to 11 a.m.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Borlaug Conference Room (H516)</w:t>
            </w:r>
            <w:r>
              <w:br/>
            </w:r>
            <w:r>
              <w:rPr>
                <w:rFonts w:ascii="Times New Roman" w:hAnsi="Times New Roman"/>
                <w:b w:val="false"/>
                <w:i w:val="false"/>
                <w:color w:val="000000"/>
                <w:sz w:val="14"/>
              </w:rPr>
              <w:t>Hoover State Office Building</w:t>
            </w:r>
            <w:r>
              <w:br/>
            </w:r>
            <w:r>
              <w:rPr>
                <w:rFonts w:ascii="Times New Roman" w:hAnsi="Times New Roman"/>
                <w:b w:val="false"/>
                <w:i w:val="false"/>
                <w:color w:val="000000"/>
                <w:sz w:val="14"/>
              </w:rPr>
              <w:t>Des Moines, Iowa</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comments concerning this Regulatory Analysis, which must be received by the Iowa Department of Agriculture and Land Stewardship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645"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Colin Tadlock</w:t>
            </w:r>
            <w:r>
              <w:br/>
            </w:r>
            <w:r>
              <w:rPr>
                <w:rFonts w:ascii="Times New Roman" w:hAnsi="Times New Roman"/>
                <w:b w:val="false"/>
                <w:i w:val="false"/>
                <w:color w:val="000000"/>
                <w:sz w:val="14"/>
              </w:rPr>
              <w:t>1305 East Walnut Street</w:t>
            </w:r>
            <w:r>
              <w:br/>
            </w:r>
            <w:r>
              <w:rPr>
                <w:rFonts w:ascii="Times New Roman" w:hAnsi="Times New Roman"/>
                <w:b w:val="false"/>
                <w:i w:val="false"/>
                <w:color w:val="000000"/>
                <w:sz w:val="14"/>
              </w:rPr>
              <w:t>Des Moines, Iowa 50319</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colin.tadlock@iowaagriculture.gov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 purpose of this proposed rulemaking is to clarify, update and maintain rules for hatcheries and chick dealers and provide for regulations for the sale of baby chicks within the State of Iowa. The rules were updated to reflect the most current version of 9 CFR Part 145 and to separate rules related to exhibitions, which are being moved into a consolidated exhibition chapter in a concurrent rulemaking (RA 26-135, IAB 7/8/26). This rulemaking maintains protections for Iowa’s poultry industry by regulating diseases in poultry.</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Persons and businesses operating as a chick dealer or hatchery as well as turkey and chick producers will bear the costs of this proposed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Poultry producers as well as the public will benefit from this proposed rulemaking by ensuring that hatching eggs, baby chicks, and domestic fowl are healthy through identified disease control programs.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This proposed rulemaking maintains the current licensing requirement for hatcheries and baby chick dealers and maintains applicable fees.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The proposed rules adopt the most current version of federal regulations, providing a consistent approach to allow poultry sales to occur while preventing the spread of disease.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Administrative costs will be minimal and handled by existing agency resources.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There is no anticipated effect on State revenues.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Failure to adopt the most current federal regulations could jeopardize Iowa’s pullorum-typhoid free status and mycoplasma-clean status. Inaction would lead to disease spread and impact Iowa’s poultry.</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No less costly or less intrusive methods exist.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The Department considered maintaining the rules as they currently exist or creating State-specific rules.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This rulemaking provides consistency with federal standards. Creating State-specific rules would result in increased costs to the State and poultry producers. Eliminating rules would allow for disease transmission.</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These rules do not have an impact on small business. They provide uniform standards and consistency with federal standards.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21—Chapter 60</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60</w:t>
      </w:r>
    </w:p>
    <w:p>
      <w:pPr>
        <w:spacing w:before="0" w:after="0" w:line="480"/>
        <w:ind w:left="120"/>
        <w:jc w:val="center"/>
      </w:pPr>
      <w:r>
        <w:rPr>
          <w:rFonts w:ascii="Times New Roman" w:hAnsi="Times New Roman"/>
          <w:b w:val="false"/>
          <w:i w:val="false"/>
          <w:color w:val="000000"/>
          <w:sz w:val="21"/>
        </w:rPr>
        <w:t>HATCHERIES AND CHICK DEALERS</w:t>
      </w:r>
    </w:p>
    <w:p>
      <w:pPr>
        <w:spacing w:before="0" w:after="0" w:line="480"/>
        <w:ind w:left="120"/>
        <w:jc w:val="both"/>
      </w:pPr>
      <w:r>
        <w:rPr>
          <w:rFonts w:ascii="Times New Roman" w:hAnsi="Times New Roman"/>
          <w:b/>
          <w:i w:val="false"/>
          <w:color w:val="000000"/>
          <w:sz w:val="24"/>
        </w:rPr>
        <w:t>21—60.1</w:t>
      </w:r>
      <w:r>
        <w:rPr>
          <w:rFonts w:ascii="Times New Roman" w:hAnsi="Times New Roman"/>
          <w:b/>
          <w:i w:val="false"/>
          <w:color w:val="000000"/>
          <w:sz w:val="24"/>
        </w:rPr>
        <w:t xml:space="preserve">(168) </w:t>
      </w:r>
      <w:r>
        <w:rPr>
          <w:rFonts w:ascii="Times New Roman" w:hAnsi="Times New Roman"/>
          <w:b/>
          <w:i w:val="false"/>
          <w:color w:val="000000"/>
          <w:sz w:val="24"/>
        </w:rPr>
        <w:t xml:space="preserve">Chickens, turkeys, domestic waterfowl, and domestic game birds.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60.1(1)</w:t>
      </w:r>
      <w:r>
        <w:rPr>
          <w:rFonts w:ascii="Times New Roman" w:hAnsi="Times New Roman"/>
          <w:b w:val="false"/>
          <w:i w:val="false"/>
          <w:color w:val="000000"/>
          <w:sz w:val="24"/>
        </w:rPr>
        <w:t> </w:t>
      </w:r>
      <w:r>
        <w:rPr>
          <w:rFonts w:ascii="Times New Roman" w:hAnsi="Times New Roman"/>
          <w:b w:val="false"/>
          <w:i w:val="false"/>
          <w:color w:val="000000"/>
          <w:sz w:val="24"/>
        </w:rPr>
        <w:t xml:space="preserve">For the purpose of assisting the state of Iowa in maintaining its pullorum-typhoid free status, the secretary adopts the provisions of </w:t>
      </w:r>
      <w:r>
        <w:rPr>
          <w:rFonts w:ascii="Times New Roman" w:hAnsi="Times New Roman"/>
          <w:b w:val="false"/>
          <w:i w:val="false"/>
          <w:color w:val="000000"/>
          <w:sz w:val="24"/>
        </w:rPr>
        <w:t>9 CFR §145.23(b)</w:t>
      </w:r>
      <w:r>
        <w:rPr>
          <w:rFonts w:ascii="Times New Roman" w:hAnsi="Times New Roman"/>
          <w:b w:val="false"/>
          <w:i w:val="false"/>
          <w:color w:val="000000"/>
          <w:sz w:val="24"/>
        </w:rPr>
        <w:t>(3)(i) through (vii), §145.33(b)(3)(i) through (vii), §145.43(b)(3)(i) through (vi), §145.53(b)(3)(i) through (vii), §145.73(b)(2)(i),  §145.83(b)(2)(i), §145.93(b)(3)(i) through (vii), and §145.103(b)(3)(i) through (ix) dated September 30, 2025.</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60.1(2)</w:t>
      </w:r>
      <w:r>
        <w:rPr>
          <w:rFonts w:ascii="Times New Roman" w:hAnsi="Times New Roman"/>
          <w:b w:val="false"/>
          <w:i w:val="false"/>
          <w:color w:val="000000"/>
          <w:sz w:val="24"/>
        </w:rPr>
        <w:t> </w:t>
      </w:r>
      <w:r>
        <w:rPr>
          <w:rFonts w:ascii="Times New Roman" w:hAnsi="Times New Roman"/>
          <w:b w:val="false"/>
          <w:i w:val="false"/>
          <w:color w:val="000000"/>
          <w:sz w:val="24"/>
        </w:rPr>
        <w:t xml:space="preserve">All hatching eggs, baby chicks or started pullets must originate from flocks or hatcheries that are pullorum-typhoid clean as defined by </w:t>
      </w:r>
      <w:r>
        <w:rPr>
          <w:rFonts w:ascii="Times New Roman" w:hAnsi="Times New Roman"/>
          <w:b w:val="false"/>
          <w:i w:val="false"/>
          <w:color w:val="000000"/>
          <w:sz w:val="24"/>
        </w:rPr>
        <w:t>9 CFR 145.23</w:t>
      </w:r>
      <w:r>
        <w:rPr>
          <w:rFonts w:ascii="Times New Roman" w:hAnsi="Times New Roman"/>
          <w:b w:val="false"/>
          <w:i w:val="false"/>
          <w:color w:val="000000"/>
          <w:sz w:val="24"/>
        </w:rPr>
        <w:t xml:space="preserve"> dated September 30, 2025.</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60.1(3)</w:t>
      </w:r>
      <w:r>
        <w:rPr>
          <w:rFonts w:ascii="Times New Roman" w:hAnsi="Times New Roman"/>
          <w:b w:val="false"/>
          <w:i w:val="false"/>
          <w:color w:val="000000"/>
          <w:sz w:val="24"/>
        </w:rPr>
        <w:t> </w:t>
      </w:r>
      <w:r>
        <w:rPr>
          <w:rFonts w:ascii="Times New Roman" w:hAnsi="Times New Roman"/>
          <w:b w:val="false"/>
          <w:i w:val="false"/>
          <w:color w:val="000000"/>
          <w:sz w:val="24"/>
        </w:rPr>
        <w:t xml:space="preserve">All boxes, crates, coops or other containers shall be new or disinfected before being used to move poultry within the state of Iowa. Each such box, crate, coop or other container that is attached to a customer lot shall be plainly labeled by identifying the customer lot thereof with a label to be supplied by the National Poultry Improvement Plan (NPIP)-recognized official state contact agency. The label shall contain the name of the seller and a description of the contents as specified in Iowa Code section </w:t>
      </w:r>
      <w:hyperlink r:id="rId5">
        <w:r>
          <w:rPr>
            <w:rStyle w:val="Hyperlink"/>
            <w:rFonts w:ascii="Times New Roman" w:hAnsi="Times New Roman"/>
            <w:b w:val="false"/>
            <w:i w:val="false"/>
            <w:color w:val="000000"/>
            <w:sz w:val="24"/>
          </w:rPr>
          <w:t>168.5(4)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21—60.2</w:t>
      </w:r>
      <w:r>
        <w:rPr>
          <w:rFonts w:ascii="Times New Roman" w:hAnsi="Times New Roman"/>
          <w:b/>
          <w:i w:val="false"/>
          <w:color w:val="000000"/>
          <w:sz w:val="24"/>
        </w:rPr>
        <w:t xml:space="preserve">(168) </w:t>
      </w:r>
      <w:r>
        <w:rPr>
          <w:rFonts w:ascii="Times New Roman" w:hAnsi="Times New Roman"/>
          <w:b/>
          <w:i w:val="false"/>
          <w:color w:val="000000"/>
          <w:sz w:val="24"/>
        </w:rPr>
        <w:t xml:space="preserve">License for hatcheries and dealers of baby chicks or domestic fowl.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60.2(1)</w:t>
      </w:r>
      <w:r>
        <w:rPr>
          <w:rFonts w:ascii="Times New Roman" w:hAnsi="Times New Roman"/>
          <w:b w:val="false"/>
          <w:i w:val="false"/>
          <w:color w:val="000000"/>
          <w:sz w:val="24"/>
        </w:rPr>
        <w:t> </w:t>
      </w:r>
      <w:r>
        <w:rPr>
          <w:rFonts w:ascii="Times New Roman" w:hAnsi="Times New Roman"/>
          <w:b w:val="false"/>
          <w:i w:val="false"/>
          <w:color w:val="000000"/>
          <w:sz w:val="24"/>
        </w:rPr>
        <w:t>License for hatcheries. In order to qualify for the license to engage in the business of custom hatching or producing baby chicks and other baby domestic fowl under six weeks of age for sale within this state, the applicant shall comply with the following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An application for a license shall be accompanied by the required license fee.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All hatchery applicants shall assist the state in maintaining its pullorum-typhoid free status by accompanying license application with evidence or affidavit indicating compliance with regulations of </w:t>
      </w:r>
      <w:r>
        <w:rPr>
          <w:rFonts w:ascii="Times New Roman" w:hAnsi="Times New Roman"/>
          <w:b w:val="false"/>
          <w:i w:val="false"/>
          <w:color w:val="000000"/>
          <w:sz w:val="24"/>
        </w:rPr>
        <w:t>9 CFR Part 145</w:t>
      </w:r>
      <w:r>
        <w:rPr>
          <w:rFonts w:ascii="Times New Roman" w:hAnsi="Times New Roman"/>
          <w:b w:val="false"/>
          <w:i w:val="false"/>
          <w:color w:val="000000"/>
          <w:sz w:val="24"/>
        </w:rPr>
        <w:t xml:space="preserve"> dated September 30, 2025.</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60.2(2)</w:t>
      </w:r>
      <w:r>
        <w:rPr>
          <w:rFonts w:ascii="Times New Roman" w:hAnsi="Times New Roman"/>
          <w:b w:val="false"/>
          <w:i w:val="false"/>
          <w:color w:val="000000"/>
          <w:sz w:val="24"/>
        </w:rPr>
        <w:t> </w:t>
      </w:r>
      <w:r>
        <w:rPr>
          <w:rFonts w:ascii="Times New Roman" w:hAnsi="Times New Roman"/>
          <w:b w:val="false"/>
          <w:i w:val="false"/>
          <w:color w:val="000000"/>
          <w:sz w:val="24"/>
        </w:rPr>
        <w:t>License for dealers of baby chicks and domestic fowl. In order to qualify for the license to engage in the business of offering baby chicks and domestic fowl for sale or selling them within this state, the applicant shall comply with the following requirement: an application for a license shall be accompanied by the required license fee.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60.2(3)</w:t>
      </w:r>
      <w:r>
        <w:rPr>
          <w:rFonts w:ascii="Times New Roman" w:hAnsi="Times New Roman"/>
          <w:b w:val="false"/>
          <w:i w:val="false"/>
          <w:color w:val="000000"/>
          <w:sz w:val="24"/>
        </w:rPr>
        <w:t> </w:t>
      </w:r>
      <w:r>
        <w:rPr>
          <w:rFonts w:ascii="Times New Roman" w:hAnsi="Times New Roman"/>
          <w:b w:val="false"/>
          <w:i w:val="false"/>
          <w:color w:val="000000"/>
          <w:sz w:val="24"/>
        </w:rPr>
        <w:t xml:space="preserve">Prior to issuing the license, the department of agriculture and land stewardship may inspect the applicant’s business establishment. All the requirements of Iowa Code section </w:t>
      </w:r>
      <w:hyperlink r:id="rId6">
        <w:r>
          <w:rPr>
            <w:rStyle w:val="Hyperlink"/>
            <w:rFonts w:ascii="Times New Roman" w:hAnsi="Times New Roman"/>
            <w:b w:val="false"/>
            <w:i w:val="false"/>
            <w:color w:val="000000"/>
            <w:sz w:val="24"/>
          </w:rPr>
          <w:t>168.5</w:t>
        </w:r>
      </w:hyperlink>
      <w:r>
        <w:rPr>
          <w:rFonts w:ascii="Times New Roman" w:hAnsi="Times New Roman"/>
          <w:b w:val="false"/>
          <w:i w:val="false"/>
          <w:color w:val="000000"/>
          <w:sz w:val="24"/>
        </w:rPr>
        <w:t xml:space="preserve"> shall be complied with.</w:t>
      </w:r>
    </w:p>
    <w:p>
      <w:pPr>
        <w:spacing w:before="0" w:after="0" w:line="480"/>
        <w:ind w:left="120"/>
        <w:jc w:val="both"/>
      </w:pPr>
      <w:r>
        <w:rPr>
          <w:rFonts w:ascii="Times New Roman" w:hAnsi="Times New Roman"/>
          <w:b/>
          <w:i w:val="false"/>
          <w:color w:val="000000"/>
          <w:sz w:val="24"/>
        </w:rPr>
        <w:t>21—60.3</w:t>
      </w:r>
      <w:r>
        <w:rPr>
          <w:rFonts w:ascii="Times New Roman" w:hAnsi="Times New Roman"/>
          <w:b/>
          <w:i w:val="false"/>
          <w:color w:val="000000"/>
          <w:sz w:val="24"/>
        </w:rPr>
        <w:t xml:space="preserve">(163) </w:t>
      </w:r>
      <w:r>
        <w:rPr>
          <w:rFonts w:ascii="Times New Roman" w:hAnsi="Times New Roman"/>
          <w:b/>
          <w:i w:val="false"/>
          <w:color w:val="000000"/>
          <w:sz w:val="24"/>
        </w:rPr>
        <w:t xml:space="preserve">Turkeys. </w:t>
      </w:r>
      <w:r>
        <w:rPr>
          <w:rFonts w:ascii="Times New Roman" w:hAnsi="Times New Roman"/>
          <w:b w:val="false"/>
          <w:i w:val="false"/>
          <w:color w:val="000000"/>
          <w:sz w:val="24"/>
        </w:rPr>
        <w:t>All turkey-hatching eggs or turkey poults must originate from flocks or hatcheries that comply with the following requirements of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60.3(1)</w:t>
      </w:r>
      <w:r>
        <w:rPr>
          <w:rFonts w:ascii="Times New Roman" w:hAnsi="Times New Roman"/>
          <w:b w:val="false"/>
          <w:i w:val="false"/>
          <w:color w:val="000000"/>
          <w:sz w:val="24"/>
        </w:rPr>
        <w:t> </w:t>
      </w:r>
      <w:r>
        <w:rPr>
          <w:rFonts w:ascii="Times New Roman" w:hAnsi="Times New Roman"/>
          <w:b w:val="false"/>
          <w:i w:val="false"/>
          <w:color w:val="000000"/>
          <w:sz w:val="24"/>
        </w:rPr>
        <w:t xml:space="preserve">For the purpose of assisting the state of Iowa in maintaining its U.S. mycoplasma gallisepticum clean state status, the secretary adopts the provisions of </w:t>
      </w:r>
      <w:r>
        <w:rPr>
          <w:rFonts w:ascii="Times New Roman" w:hAnsi="Times New Roman"/>
          <w:b w:val="false"/>
          <w:i w:val="false"/>
          <w:color w:val="000000"/>
          <w:sz w:val="24"/>
        </w:rPr>
        <w:t>9 CFR §145.44(c)</w:t>
      </w:r>
      <w:r>
        <w:rPr>
          <w:rFonts w:ascii="Times New Roman" w:hAnsi="Times New Roman"/>
          <w:b w:val="false"/>
          <w:i w:val="false"/>
          <w:color w:val="000000"/>
          <w:sz w:val="24"/>
        </w:rPr>
        <w:t>, §145.14(b) and §145.43(c) dated September 30, 2025.</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60.3(2)</w:t>
      </w:r>
      <w:r>
        <w:rPr>
          <w:rFonts w:ascii="Times New Roman" w:hAnsi="Times New Roman"/>
          <w:b w:val="false"/>
          <w:i w:val="false"/>
          <w:color w:val="000000"/>
          <w:sz w:val="24"/>
        </w:rPr>
        <w:t> </w:t>
      </w:r>
      <w:r>
        <w:rPr>
          <w:rFonts w:ascii="Times New Roman" w:hAnsi="Times New Roman"/>
          <w:b w:val="false"/>
          <w:i w:val="false"/>
          <w:color w:val="000000"/>
          <w:sz w:val="24"/>
        </w:rPr>
        <w:t>All eggs used for hatching shall be identified by the flock owner as to the flock of origin.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60.3(3)</w:t>
      </w:r>
      <w:r>
        <w:rPr>
          <w:rFonts w:ascii="Times New Roman" w:hAnsi="Times New Roman"/>
          <w:b w:val="false"/>
          <w:i w:val="false"/>
          <w:color w:val="000000"/>
          <w:sz w:val="24"/>
        </w:rPr>
        <w:t> </w:t>
      </w:r>
      <w:r>
        <w:rPr>
          <w:rFonts w:ascii="Times New Roman" w:hAnsi="Times New Roman"/>
          <w:b w:val="false"/>
          <w:i w:val="false"/>
          <w:color w:val="000000"/>
          <w:sz w:val="24"/>
        </w:rPr>
        <w:t>Flock and hatchery owners shall report any signs of respiratory disease to the department.</w:t>
      </w:r>
    </w:p>
    <w:p>
      <w:pPr>
        <w:spacing w:before="0" w:after="0" w:line="480"/>
        <w:ind w:left="120"/>
        <w:jc w:val="both"/>
      </w:pPr>
      <w:r>
        <w:rPr>
          <w:rFonts w:ascii="Times New Roman" w:hAnsi="Times New Roman"/>
          <w:b w:val="false"/>
          <w:i w:val="false"/>
          <w:color w:val="000000"/>
          <w:sz w:val="24"/>
        </w:rPr>
        <w:t xml:space="preserve">These rules are intended to implement Iowa Code sections </w:t>
      </w:r>
      <w:hyperlink r:id="rId7">
        <w:r>
          <w:rPr>
            <w:rStyle w:val="Hyperlink"/>
            <w:rFonts w:ascii="Times New Roman" w:hAnsi="Times New Roman"/>
            <w:b w:val="false"/>
            <w:i w:val="false"/>
            <w:color w:val="000000"/>
            <w:sz w:val="24"/>
          </w:rPr>
          <w:t>159.1</w:t>
        </w:r>
      </w:hyperlink>
      <w:r>
        <w:rPr>
          <w:rFonts w:ascii="Times New Roman" w:hAnsi="Times New Roman"/>
          <w:b w:val="false"/>
          <w:i w:val="false"/>
          <w:color w:val="000000"/>
          <w:sz w:val="24"/>
        </w:rPr>
        <w:t xml:space="preserve">, </w:t>
      </w:r>
      <w:hyperlink r:id="rId8">
        <w:r>
          <w:rPr>
            <w:rStyle w:val="Hyperlink"/>
            <w:rFonts w:ascii="Times New Roman" w:hAnsi="Times New Roman"/>
            <w:b w:val="false"/>
            <w:i w:val="false"/>
            <w:color w:val="000000"/>
            <w:sz w:val="24"/>
          </w:rPr>
          <w:t>163.1</w:t>
        </w:r>
      </w:hyperlink>
      <w:r>
        <w:rPr>
          <w:rFonts w:ascii="Times New Roman" w:hAnsi="Times New Roman"/>
          <w:b w:val="false"/>
          <w:i w:val="false"/>
          <w:color w:val="000000"/>
          <w:sz w:val="24"/>
        </w:rPr>
        <w:t xml:space="preserve">, </w:t>
      </w:r>
      <w:hyperlink r:id="rId9">
        <w:r>
          <w:rPr>
            <w:rStyle w:val="Hyperlink"/>
            <w:rFonts w:ascii="Times New Roman" w:hAnsi="Times New Roman"/>
            <w:b w:val="false"/>
            <w:i w:val="false"/>
            <w:color w:val="000000"/>
            <w:sz w:val="24"/>
          </w:rPr>
          <w:t>168.2</w:t>
        </w:r>
      </w:hyperlink>
      <w:r>
        <w:rPr>
          <w:rFonts w:ascii="Times New Roman" w:hAnsi="Times New Roman"/>
          <w:b w:val="false"/>
          <w:i w:val="false"/>
          <w:color w:val="000000"/>
          <w:sz w:val="24"/>
        </w:rPr>
        <w:t xml:space="preserve">, </w:t>
      </w:r>
      <w:hyperlink r:id="rId10">
        <w:r>
          <w:rPr>
            <w:rStyle w:val="Hyperlink"/>
            <w:rFonts w:ascii="Times New Roman" w:hAnsi="Times New Roman"/>
            <w:b w:val="false"/>
            <w:i w:val="false"/>
            <w:color w:val="000000"/>
            <w:sz w:val="24"/>
          </w:rPr>
          <w:t>168.5</w:t>
        </w:r>
      </w:hyperlink>
      <w:r>
        <w:rPr>
          <w:rFonts w:ascii="Times New Roman" w:hAnsi="Times New Roman"/>
          <w:b w:val="false"/>
          <w:i w:val="false"/>
          <w:color w:val="000000"/>
          <w:sz w:val="24"/>
        </w:rPr>
        <w:t xml:space="preserve">, </w:t>
      </w:r>
      <w:hyperlink r:id="rId11">
        <w:r>
          <w:rPr>
            <w:rStyle w:val="Hyperlink"/>
            <w:rFonts w:ascii="Times New Roman" w:hAnsi="Times New Roman"/>
            <w:b w:val="false"/>
            <w:i w:val="false"/>
            <w:color w:val="000000"/>
            <w:sz w:val="24"/>
          </w:rPr>
          <w:t>168.6</w:t>
        </w:r>
      </w:hyperlink>
      <w:r>
        <w:rPr>
          <w:rFonts w:ascii="Times New Roman" w:hAnsi="Times New Roman"/>
          <w:b w:val="false"/>
          <w:i w:val="false"/>
          <w:color w:val="000000"/>
          <w:sz w:val="24"/>
        </w:rPr>
        <w:t xml:space="preserve">, </w:t>
      </w:r>
      <w:hyperlink r:id="rId12">
        <w:r>
          <w:rPr>
            <w:rStyle w:val="Hyperlink"/>
            <w:rFonts w:ascii="Times New Roman" w:hAnsi="Times New Roman"/>
            <w:b w:val="false"/>
            <w:i w:val="false"/>
            <w:color w:val="000000"/>
            <w:sz w:val="24"/>
          </w:rPr>
          <w:t>168.7</w:t>
        </w:r>
      </w:hyperlink>
      <w:r>
        <w:rPr>
          <w:rFonts w:ascii="Times New Roman" w:hAnsi="Times New Roman"/>
          <w:b w:val="false"/>
          <w:i w:val="false"/>
          <w:color w:val="000000"/>
          <w:sz w:val="24"/>
        </w:rPr>
        <w:t xml:space="preserve">, and </w:t>
      </w:r>
      <w:hyperlink r:id="rId13">
        <w:r>
          <w:rPr>
            <w:rStyle w:val="Hyperlink"/>
            <w:rFonts w:ascii="Times New Roman" w:hAnsi="Times New Roman"/>
            <w:b w:val="false"/>
            <w:i w:val="false"/>
            <w:color w:val="000000"/>
            <w:sz w:val="24"/>
          </w:rPr>
          <w:t>197.1</w:t>
        </w:r>
      </w:hyperlink>
      <w:r>
        <w:rPr>
          <w:rFonts w:ascii="Times New Roman" w:hAnsi="Times New Roman"/>
          <w:b w:val="false"/>
          <w:i w:val="false"/>
          <w:color w:val="000000"/>
          <w:sz w:val="24"/>
        </w:rPr>
        <w:t>.</w:t>
      </w:r>
    </w:p>
    <w:sectPr>
      <w:footerReference r:id="rId1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colin.tadlock@iowaagriculture.gov" Type="http://schemas.openxmlformats.org/officeDocument/2006/relationships/hyperlink" Id="rId4"/>
    <Relationship TargetMode="External" Target="https://www.legis.iowa.gov/docs/ico/chapter/168.5.pdf" Type="http://schemas.openxmlformats.org/officeDocument/2006/relationships/hyperlink" Id="rId5"/>
    <Relationship TargetMode="External" Target="https://www.legis.iowa.gov/docs/ico/chapter/168.5.pdf" Type="http://schemas.openxmlformats.org/officeDocument/2006/relationships/hyperlink" Id="rId6"/>
    <Relationship TargetMode="External" Target="https://www.legis.iowa.gov/docs/ico/chapter/159.1.pdf" Type="http://schemas.openxmlformats.org/officeDocument/2006/relationships/hyperlink" Id="rId7"/>
    <Relationship TargetMode="External" Target="https://www.legis.iowa.gov/docs/ico/chapter/163.1.pdf" Type="http://schemas.openxmlformats.org/officeDocument/2006/relationships/hyperlink" Id="rId8"/>
    <Relationship TargetMode="External" Target="https://www.legis.iowa.gov/docs/ico/chapter/168.2.pdf" Type="http://schemas.openxmlformats.org/officeDocument/2006/relationships/hyperlink" Id="rId9"/>
    <Relationship TargetMode="External" Target="https://www.legis.iowa.gov/docs/ico/chapter/168.5.pdf" Type="http://schemas.openxmlformats.org/officeDocument/2006/relationships/hyperlink" Id="rId10"/>
    <Relationship TargetMode="External" Target="https://www.legis.iowa.gov/docs/ico/chapter/168.6.pdf" Type="http://schemas.openxmlformats.org/officeDocument/2006/relationships/hyperlink" Id="rId11"/>
    <Relationship TargetMode="External" Target="https://www.legis.iowa.gov/docs/ico/chapter/168.7.pdf" Type="http://schemas.openxmlformats.org/officeDocument/2006/relationships/hyperlink" Id="rId12"/>
    <Relationship TargetMode="External" Target="https://www.legis.iowa.gov/docs/ico/chapter/197.1.pdf" Type="http://schemas.openxmlformats.org/officeDocument/2006/relationships/hyperlink" Id="rId13"/>
    <Relationship Target="footer.xml" Type="http://schemas.openxmlformats.org/officeDocument/2006/relationships/footer"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